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668A6802" w14:textId="77777777" w:rsidR="00F06889" w:rsidRDefault="00F06889" w:rsidP="00650F3C">
      <w:pPr>
        <w:pStyle w:val="Ttulo"/>
        <w:spacing w:line="393" w:lineRule="auto"/>
        <w:ind w:left="0"/>
        <w:jc w:val="center"/>
      </w:pPr>
      <w:r>
        <w:t xml:space="preserve">RELATÓRIO DE GESTÃO </w:t>
      </w:r>
    </w:p>
    <w:p w14:paraId="22B88390" w14:textId="1AD5AA3D" w:rsidR="00650F3C" w:rsidRDefault="00F06889" w:rsidP="00650F3C">
      <w:pPr>
        <w:pStyle w:val="Ttulo"/>
        <w:spacing w:line="393" w:lineRule="auto"/>
        <w:ind w:left="0"/>
        <w:jc w:val="center"/>
      </w:pPr>
      <w:r>
        <w:t>OU ATIVIDADES - 202</w:t>
      </w:r>
      <w:r w:rsidR="00944B1B">
        <w:t>3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572029ED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944B1B">
        <w:rPr>
          <w:b/>
          <w:spacing w:val="-4"/>
        </w:rPr>
        <w:t>3</w:t>
      </w:r>
    </w:p>
    <w:p w14:paraId="4A5A63F8" w14:textId="7CDD629F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  <w:r w:rsidRPr="00F06889">
        <w:rPr>
          <w:spacing w:val="-2"/>
        </w:rPr>
        <w:lastRenderedPageBreak/>
        <w:t>RELATÓRIO DE GESTÃO E ATIVIDADES – 202</w:t>
      </w:r>
      <w:r w:rsidR="00944B1B">
        <w:rPr>
          <w:spacing w:val="-2"/>
        </w:rPr>
        <w:t>3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52F6CEE6" w14:textId="77777777" w:rsidR="00F06889" w:rsidRP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5903E727" w14:textId="77777777" w:rsidR="00944B1B" w:rsidRDefault="00944B1B" w:rsidP="00944B1B">
      <w:pPr>
        <w:pStyle w:val="Corpodetexto"/>
        <w:spacing w:line="360" w:lineRule="auto"/>
        <w:ind w:left="854" w:right="137" w:firstLine="704"/>
        <w:jc w:val="both"/>
      </w:pPr>
      <w:r>
        <w:t xml:space="preserve">O exercício de 2023 representou o início do ciclo do </w:t>
      </w:r>
      <w:r w:rsidRPr="00944B1B">
        <w:rPr>
          <w:b/>
          <w:bCs/>
        </w:rPr>
        <w:t>Plano Estratégico Institucional 2023–2024</w:t>
      </w:r>
      <w:r>
        <w:t>, com ações voltadas à eficiência administrativa, à transparência ativa e ao fortalecimento da função legislativa.</w:t>
      </w:r>
      <w:r>
        <w:br/>
        <w:t>Este relatório apresenta os resultados alcançados em cada eixo estratégico, conforme as metas previstas no planejamento anual.</w:t>
      </w:r>
    </w:p>
    <w:p w14:paraId="05C7AACC" w14:textId="2071680D" w:rsidR="00944B1B" w:rsidRDefault="00944B1B" w:rsidP="00944B1B"/>
    <w:p w14:paraId="23A51F5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2A29F5C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79B1ADE3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3432CE7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FD067B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839E89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B94D1B7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A828899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AB0F4C1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341F535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31FC9C1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DB3D2CC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E2FBBA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1ECC36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92D780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733D892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4C87116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BE6A5A5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66EFFA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9E9F17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6342519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E49089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870EDA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A8C2FF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E05459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5B1B9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86CCE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6EE09E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A6BFAFC" w14:textId="77777777" w:rsidR="00944B1B" w:rsidRDefault="00944B1B" w:rsidP="00944B1B">
      <w:pPr>
        <w:pStyle w:val="Ttulo1"/>
        <w:spacing w:before="1"/>
        <w:ind w:left="0"/>
        <w:rPr>
          <w:spacing w:val="-2"/>
        </w:rPr>
      </w:pPr>
    </w:p>
    <w:p w14:paraId="57F00F9A" w14:textId="77E51538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lastRenderedPageBreak/>
        <w:t>Eixo 1 – Atuação Legislativa e Fiscalizadora</w:t>
      </w:r>
    </w:p>
    <w:p w14:paraId="2F936954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Fonts w:ascii="Arial" w:hAnsi="Arial" w:cs="Arial"/>
          <w:b/>
          <w:bCs/>
        </w:rPr>
      </w:pPr>
      <w:r w:rsidRPr="00944B1B">
        <w:rPr>
          <w:rStyle w:val="Forte"/>
          <w:rFonts w:ascii="Arial" w:hAnsi="Arial" w:cs="Arial"/>
          <w:b w:val="0"/>
          <w:bCs w:val="0"/>
        </w:rPr>
        <w:t>Sessões ordinárias realizadas:</w:t>
      </w:r>
      <w:r w:rsidRPr="00944B1B">
        <w:rPr>
          <w:rFonts w:ascii="Arial" w:hAnsi="Arial" w:cs="Arial"/>
          <w:b/>
          <w:bCs/>
        </w:rPr>
        <w:t xml:space="preserve"> 24</w:t>
      </w:r>
    </w:p>
    <w:p w14:paraId="453C81F3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Fonts w:ascii="Arial" w:hAnsi="Arial" w:cs="Arial"/>
          <w:b/>
          <w:bCs/>
        </w:rPr>
      </w:pPr>
      <w:r w:rsidRPr="00944B1B">
        <w:rPr>
          <w:rStyle w:val="Forte"/>
          <w:rFonts w:ascii="Arial" w:hAnsi="Arial" w:cs="Arial"/>
          <w:b w:val="0"/>
          <w:bCs w:val="0"/>
        </w:rPr>
        <w:t>Projetos de lei apresentados:</w:t>
      </w:r>
      <w:r w:rsidRPr="00944B1B">
        <w:rPr>
          <w:rFonts w:ascii="Arial" w:hAnsi="Arial" w:cs="Arial"/>
          <w:b/>
          <w:bCs/>
        </w:rPr>
        <w:t xml:space="preserve"> 25</w:t>
      </w:r>
    </w:p>
    <w:p w14:paraId="3D52173A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Fonts w:ascii="Arial" w:hAnsi="Arial" w:cs="Arial"/>
          <w:b/>
          <w:bCs/>
        </w:rPr>
      </w:pPr>
      <w:r w:rsidRPr="00944B1B">
        <w:rPr>
          <w:rStyle w:val="Forte"/>
          <w:rFonts w:ascii="Arial" w:hAnsi="Arial" w:cs="Arial"/>
          <w:b w:val="0"/>
          <w:bCs w:val="0"/>
        </w:rPr>
        <w:t>Audiências públicas realizadas:</w:t>
      </w:r>
      <w:r w:rsidRPr="00944B1B">
        <w:rPr>
          <w:rFonts w:ascii="Arial" w:hAnsi="Arial" w:cs="Arial"/>
          <w:b/>
          <w:bCs/>
        </w:rPr>
        <w:t xml:space="preserve"> 4</w:t>
      </w:r>
    </w:p>
    <w:p w14:paraId="1151DEA5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Fonts w:ascii="Arial" w:hAnsi="Arial" w:cs="Arial"/>
          <w:b/>
          <w:bCs/>
        </w:rPr>
      </w:pPr>
      <w:r w:rsidRPr="00944B1B">
        <w:rPr>
          <w:rStyle w:val="Forte"/>
          <w:rFonts w:ascii="Arial" w:hAnsi="Arial" w:cs="Arial"/>
          <w:b w:val="0"/>
          <w:bCs w:val="0"/>
        </w:rPr>
        <w:t>Taxa de proposições aprovadas:</w:t>
      </w:r>
      <w:r w:rsidRPr="00944B1B">
        <w:rPr>
          <w:rFonts w:ascii="Arial" w:hAnsi="Arial" w:cs="Arial"/>
          <w:b/>
          <w:bCs/>
        </w:rPr>
        <w:t xml:space="preserve"> 85%</w:t>
      </w:r>
    </w:p>
    <w:p w14:paraId="515C386F" w14:textId="77777777" w:rsidR="00944B1B" w:rsidRPr="00944B1B" w:rsidRDefault="00944B1B" w:rsidP="00944B1B">
      <w:pPr>
        <w:pStyle w:val="Ttulo1"/>
        <w:spacing w:before="1"/>
        <w:ind w:left="0" w:firstLine="1560"/>
        <w:rPr>
          <w:b w:val="0"/>
          <w:bCs w:val="0"/>
          <w:spacing w:val="-2"/>
          <w:sz w:val="24"/>
          <w:szCs w:val="24"/>
        </w:rPr>
      </w:pPr>
      <w:r w:rsidRPr="00944B1B">
        <w:rPr>
          <w:spacing w:val="-2"/>
          <w:sz w:val="24"/>
          <w:szCs w:val="24"/>
        </w:rPr>
        <w:t>Resultados alcançados</w:t>
      </w:r>
      <w:r w:rsidRPr="00944B1B">
        <w:rPr>
          <w:b w:val="0"/>
          <w:bCs w:val="0"/>
          <w:spacing w:val="-2"/>
          <w:sz w:val="24"/>
          <w:szCs w:val="24"/>
        </w:rPr>
        <w:t>:</w:t>
      </w:r>
    </w:p>
    <w:p w14:paraId="0CD719DD" w14:textId="4D91C99B" w:rsidR="00944B1B" w:rsidRDefault="00944B1B" w:rsidP="00944B1B">
      <w:pPr>
        <w:pStyle w:val="NormalWeb"/>
        <w:ind w:left="851" w:firstLine="709"/>
        <w:jc w:val="both"/>
      </w:pPr>
      <w:r w:rsidRPr="00944B1B">
        <w:rPr>
          <w:rFonts w:ascii="Arial" w:eastAsia="Arial" w:hAnsi="Arial" w:cs="Arial"/>
          <w:lang w:val="pt-PT" w:eastAsia="en-US"/>
        </w:rPr>
        <w:t>Houve aumento da produtividade legislativa e maior interação entre vereadores e a comunidade, com realização de audiências públicas voltadas à educação, saúde e orçamento. A atuação fiscalizadora foi intensificada por meio da solicitação de relatórios e requerimentos ao Executivo.</w:t>
      </w:r>
    </w:p>
    <w:p w14:paraId="3307F66C" w14:textId="0F0F3619" w:rsidR="00944B1B" w:rsidRDefault="00944B1B" w:rsidP="00944B1B"/>
    <w:p w14:paraId="53855D7B" w14:textId="74237367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t>Eixo 2 – Gestão Administrativa e Financeira</w:t>
      </w:r>
    </w:p>
    <w:p w14:paraId="3E602621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Execução orçamentária:</w:t>
      </w:r>
      <w:r w:rsidRPr="00944B1B">
        <w:rPr>
          <w:rStyle w:val="Forte"/>
          <w:rFonts w:ascii="Arial" w:hAnsi="Arial" w:cs="Arial"/>
        </w:rPr>
        <w:t xml:space="preserve"> 90% do total autorizado</w:t>
      </w:r>
    </w:p>
    <w:p w14:paraId="09A38FCA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Atualização de dados fiscais no portal:</w:t>
      </w:r>
      <w:r w:rsidRPr="00944B1B">
        <w:rPr>
          <w:rStyle w:val="Forte"/>
          <w:rFonts w:ascii="Arial" w:hAnsi="Arial" w:cs="Arial"/>
        </w:rPr>
        <w:t xml:space="preserve"> 100% mensal</w:t>
      </w:r>
    </w:p>
    <w:p w14:paraId="62CFFD04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Despesa com pessoal sobre receita:</w:t>
      </w:r>
      <w:r w:rsidRPr="00944B1B">
        <w:rPr>
          <w:rStyle w:val="Forte"/>
          <w:rFonts w:ascii="Arial" w:hAnsi="Arial" w:cs="Arial"/>
        </w:rPr>
        <w:t xml:space="preserve"> 59%</w:t>
      </w:r>
    </w:p>
    <w:p w14:paraId="04369481" w14:textId="77777777" w:rsidR="00944B1B" w:rsidRDefault="00944B1B" w:rsidP="00944B1B">
      <w:pPr>
        <w:pStyle w:val="NormalWeb"/>
        <w:ind w:firstLine="1560"/>
      </w:pPr>
      <w:r w:rsidRPr="00944B1B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602A6AFA" w14:textId="5625D3AE" w:rsidR="00944B1B" w:rsidRDefault="00944B1B" w:rsidP="00944B1B">
      <w:pPr>
        <w:pStyle w:val="NormalWeb"/>
        <w:ind w:left="851" w:firstLine="709"/>
        <w:jc w:val="both"/>
      </w:pPr>
      <w:r w:rsidRPr="00944B1B">
        <w:rPr>
          <w:rFonts w:ascii="Arial" w:eastAsia="Arial" w:hAnsi="Arial" w:cs="Arial"/>
          <w:lang w:val="pt-PT" w:eastAsia="en-US"/>
        </w:rPr>
        <w:t>A Câmara manteve equilíbrio financeiro, com observância integral à Lei de Responsabilidade Fiscal. Todas as informações contábeis e financeiras foram publicadas dentro dos prazos legais, garantindo conformidade e transparência.</w:t>
      </w:r>
    </w:p>
    <w:p w14:paraId="5656E192" w14:textId="181E04C3" w:rsidR="00944B1B" w:rsidRDefault="00944B1B" w:rsidP="00944B1B"/>
    <w:p w14:paraId="5E187554" w14:textId="1A593E10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t>Eixo 3 – Desenvolvimento de Pessoas</w:t>
      </w:r>
    </w:p>
    <w:p w14:paraId="6B5A08CE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Servidores capacitados:</w:t>
      </w:r>
      <w:r w:rsidRPr="00944B1B">
        <w:rPr>
          <w:rStyle w:val="Forte"/>
          <w:rFonts w:ascii="Arial" w:hAnsi="Arial" w:cs="Arial"/>
        </w:rPr>
        <w:t xml:space="preserve"> 10</w:t>
      </w:r>
    </w:p>
    <w:p w14:paraId="7810B940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Índice de satisfação interna:</w:t>
      </w:r>
      <w:r w:rsidRPr="00944B1B">
        <w:rPr>
          <w:rStyle w:val="Forte"/>
          <w:rFonts w:ascii="Arial" w:hAnsi="Arial" w:cs="Arial"/>
        </w:rPr>
        <w:t xml:space="preserve"> 70%</w:t>
      </w:r>
    </w:p>
    <w:p w14:paraId="349FB42D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Implantação da avaliação de desempenho:</w:t>
      </w:r>
      <w:r w:rsidRPr="00944B1B">
        <w:rPr>
          <w:rStyle w:val="Forte"/>
          <w:rFonts w:ascii="Arial" w:hAnsi="Arial" w:cs="Arial"/>
        </w:rPr>
        <w:t xml:space="preserve"> fase piloto implementada</w:t>
      </w:r>
    </w:p>
    <w:p w14:paraId="0260C4FD" w14:textId="77777777" w:rsidR="00944B1B" w:rsidRPr="00944B1B" w:rsidRDefault="00944B1B" w:rsidP="00944B1B">
      <w:pPr>
        <w:pStyle w:val="NormalWeb"/>
        <w:ind w:firstLine="1560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944B1B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6DCFF9C9" w14:textId="0D7CD8AB" w:rsidR="00944B1B" w:rsidRDefault="00944B1B" w:rsidP="00944B1B">
      <w:pPr>
        <w:pStyle w:val="NormalWeb"/>
        <w:ind w:left="851" w:firstLine="850"/>
        <w:jc w:val="both"/>
      </w:pPr>
      <w:r w:rsidRPr="00944B1B">
        <w:rPr>
          <w:rFonts w:ascii="Arial" w:eastAsia="Arial" w:hAnsi="Arial" w:cs="Arial"/>
          <w:lang w:val="pt-PT" w:eastAsia="en-US"/>
        </w:rPr>
        <w:t>O ano de 2023 foi marcado por investimentos em qualificação, com servidores participando de cursos sobre licitações, transparência e controle interno. A cultura de valorização e aprendizado contínuo consolidou-se entre as equipes administrativas.</w:t>
      </w:r>
    </w:p>
    <w:p w14:paraId="5EAE933F" w14:textId="7CEFE9F0" w:rsidR="00944B1B" w:rsidRDefault="00944B1B" w:rsidP="00944B1B"/>
    <w:p w14:paraId="5F7B07B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4977EEE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77D1B4E7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F3986F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8C49DD3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91ECF8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F9FCDE6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31D969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A53C20F" w14:textId="70AACA3E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lastRenderedPageBreak/>
        <w:t>Eixo 4 – Comunicação e Transparência</w:t>
      </w:r>
    </w:p>
    <w:p w14:paraId="2A48A20D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Atualização do portal:</w:t>
      </w:r>
      <w:r w:rsidRPr="00944B1B">
        <w:rPr>
          <w:rStyle w:val="Forte"/>
          <w:rFonts w:ascii="Arial" w:hAnsi="Arial" w:cs="Arial"/>
        </w:rPr>
        <w:t xml:space="preserve"> 100% mensal</w:t>
      </w:r>
    </w:p>
    <w:p w14:paraId="3F7D9614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Consultas públicas realizadas:</w:t>
      </w:r>
      <w:r w:rsidRPr="00944B1B">
        <w:rPr>
          <w:rStyle w:val="Forte"/>
          <w:rFonts w:ascii="Arial" w:hAnsi="Arial" w:cs="Arial"/>
        </w:rPr>
        <w:t xml:space="preserve"> 2</w:t>
      </w:r>
    </w:p>
    <w:p w14:paraId="5ABB2908" w14:textId="68C676BE" w:rsidR="00944B1B" w:rsidRPr="00944B1B" w:rsidRDefault="00944B1B" w:rsidP="00944B1B">
      <w:pPr>
        <w:pStyle w:val="NormalWeb"/>
        <w:numPr>
          <w:ilvl w:val="0"/>
          <w:numId w:val="30"/>
        </w:numPr>
        <w:rPr>
          <w:rFonts w:ascii="Arial" w:hAnsi="Arial" w:cs="Arial"/>
          <w:b/>
          <w:bCs/>
        </w:rPr>
      </w:pPr>
      <w:r w:rsidRPr="00944B1B">
        <w:rPr>
          <w:rStyle w:val="Forte"/>
          <w:rFonts w:ascii="Arial" w:hAnsi="Arial" w:cs="Arial"/>
          <w:b w:val="0"/>
          <w:bCs w:val="0"/>
        </w:rPr>
        <w:t>Tempo médio de resposta às demandas:</w:t>
      </w:r>
      <w:r w:rsidRPr="00944B1B">
        <w:rPr>
          <w:rStyle w:val="Forte"/>
          <w:rFonts w:ascii="Arial" w:hAnsi="Arial" w:cs="Arial"/>
        </w:rPr>
        <w:t xml:space="preserve"> 5 dias úteis</w:t>
      </w:r>
    </w:p>
    <w:p w14:paraId="08A84284" w14:textId="77777777" w:rsidR="00944B1B" w:rsidRPr="00944B1B" w:rsidRDefault="00944B1B" w:rsidP="00944B1B">
      <w:pPr>
        <w:pStyle w:val="NormalWeb"/>
        <w:ind w:firstLine="1560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944B1B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4461A3FE" w14:textId="07C61D2D" w:rsidR="00944B1B" w:rsidRDefault="00944B1B" w:rsidP="00944B1B">
      <w:pPr>
        <w:pStyle w:val="NormalWeb"/>
        <w:ind w:left="851" w:firstLine="850"/>
        <w:jc w:val="both"/>
      </w:pPr>
      <w:r w:rsidRPr="00944B1B">
        <w:rPr>
          <w:rFonts w:ascii="Arial" w:eastAsia="Arial" w:hAnsi="Arial" w:cs="Arial"/>
          <w:lang w:val="pt-PT" w:eastAsia="en-US"/>
        </w:rPr>
        <w:t>As ações de comunicação aproximaram a Câmara da população. Foram realizadas campanhas informativas, ampliada a presença digital e instituído novo formato de perguntas frequentes no Portal da Transparência.</w:t>
      </w:r>
    </w:p>
    <w:p w14:paraId="70DD0FCD" w14:textId="280CEA10" w:rsidR="00944B1B" w:rsidRDefault="00944B1B" w:rsidP="00944B1B"/>
    <w:p w14:paraId="6BB42514" w14:textId="538B6CDA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t>Eixo 5 – Inovação e Tecnologia</w:t>
      </w:r>
    </w:p>
    <w:p w14:paraId="78FF68F9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Processos administrativos digitalizados:</w:t>
      </w:r>
      <w:r w:rsidRPr="00944B1B">
        <w:rPr>
          <w:rStyle w:val="Forte"/>
          <w:rFonts w:ascii="Arial" w:hAnsi="Arial" w:cs="Arial"/>
        </w:rPr>
        <w:t xml:space="preserve"> 60%</w:t>
      </w:r>
    </w:p>
    <w:p w14:paraId="796B0A45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Sistema de gestão legislativa:</w:t>
      </w:r>
      <w:r w:rsidRPr="00944B1B">
        <w:rPr>
          <w:rStyle w:val="Forte"/>
          <w:rFonts w:ascii="Arial" w:hAnsi="Arial" w:cs="Arial"/>
        </w:rPr>
        <w:t xml:space="preserve"> em fase de planejamento</w:t>
      </w:r>
    </w:p>
    <w:p w14:paraId="1A75F5F9" w14:textId="77777777" w:rsidR="00944B1B" w:rsidRPr="00944B1B" w:rsidRDefault="00944B1B" w:rsidP="00944B1B">
      <w:pPr>
        <w:pStyle w:val="NormalWeb"/>
        <w:numPr>
          <w:ilvl w:val="0"/>
          <w:numId w:val="30"/>
        </w:numPr>
        <w:rPr>
          <w:rStyle w:val="Forte"/>
          <w:rFonts w:ascii="Arial" w:hAnsi="Arial" w:cs="Arial"/>
        </w:rPr>
      </w:pPr>
      <w:r w:rsidRPr="00944B1B">
        <w:rPr>
          <w:rStyle w:val="Forte"/>
          <w:rFonts w:ascii="Arial" w:hAnsi="Arial" w:cs="Arial"/>
          <w:b w:val="0"/>
          <w:bCs w:val="0"/>
        </w:rPr>
        <w:t>Incidentes de segurança:</w:t>
      </w:r>
      <w:r w:rsidRPr="00944B1B">
        <w:rPr>
          <w:rStyle w:val="Forte"/>
          <w:rFonts w:ascii="Arial" w:hAnsi="Arial" w:cs="Arial"/>
        </w:rPr>
        <w:t xml:space="preserve"> nenhum registro</w:t>
      </w:r>
    </w:p>
    <w:p w14:paraId="5B999392" w14:textId="77777777" w:rsidR="00944B1B" w:rsidRPr="00944B1B" w:rsidRDefault="00944B1B" w:rsidP="00944B1B">
      <w:pPr>
        <w:pStyle w:val="NormalWeb"/>
        <w:ind w:firstLine="1560"/>
        <w:rPr>
          <w:rFonts w:ascii="Arial" w:eastAsia="Arial" w:hAnsi="Arial" w:cs="Arial"/>
          <w:b/>
          <w:bCs/>
          <w:spacing w:val="-2"/>
          <w:lang w:val="pt-PT" w:eastAsia="en-US"/>
        </w:rPr>
      </w:pPr>
      <w:r w:rsidRPr="00944B1B">
        <w:rPr>
          <w:rFonts w:ascii="Arial" w:eastAsia="Arial" w:hAnsi="Arial" w:cs="Arial"/>
          <w:b/>
          <w:bCs/>
          <w:spacing w:val="-2"/>
          <w:lang w:val="pt-PT" w:eastAsia="en-US"/>
        </w:rPr>
        <w:t>Resultados alcançados:</w:t>
      </w:r>
    </w:p>
    <w:p w14:paraId="3A6A2381" w14:textId="1A230C51" w:rsidR="00944B1B" w:rsidRPr="00944B1B" w:rsidRDefault="00944B1B" w:rsidP="00944B1B">
      <w:pPr>
        <w:pStyle w:val="NormalWeb"/>
        <w:ind w:left="851" w:firstLine="850"/>
        <w:jc w:val="both"/>
        <w:rPr>
          <w:rFonts w:ascii="Arial" w:eastAsia="Arial" w:hAnsi="Arial" w:cs="Arial"/>
          <w:lang w:val="pt-PT" w:eastAsia="en-US"/>
        </w:rPr>
      </w:pPr>
      <w:r w:rsidRPr="00944B1B">
        <w:rPr>
          <w:rFonts w:ascii="Arial" w:eastAsia="Arial" w:hAnsi="Arial" w:cs="Arial"/>
          <w:lang w:val="pt-PT" w:eastAsia="en-US"/>
        </w:rPr>
        <w:t>Avanço significativo na informatização dos processos administrativos e no uso de sistemas digitais, com vistas à eliminação gradual do papel e maior agilidade na tramitação documental.</w:t>
      </w:r>
    </w:p>
    <w:p w14:paraId="14E0E1BC" w14:textId="127C4301" w:rsidR="00944B1B" w:rsidRDefault="00944B1B" w:rsidP="00944B1B"/>
    <w:p w14:paraId="7E48772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CF50629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7DDDE21D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32F3E7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66EF7F3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9684EAD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AD27A85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05ABB8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235AB02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400B111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7802A2B1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F8C8C4C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DD78717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F575FE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8EAEE87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102CC8C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74587EA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78DBB6CC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561BFD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5C3156E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948AF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50126DBB" w14:textId="77777777" w:rsidR="00944B1B" w:rsidRDefault="00944B1B" w:rsidP="00944B1B">
      <w:pPr>
        <w:pStyle w:val="Ttulo1"/>
        <w:spacing w:before="1"/>
        <w:ind w:left="0"/>
        <w:rPr>
          <w:spacing w:val="-2"/>
        </w:rPr>
      </w:pPr>
    </w:p>
    <w:p w14:paraId="1240A2EB" w14:textId="2735A547" w:rsidR="00944B1B" w:rsidRPr="00944B1B" w:rsidRDefault="00944B1B" w:rsidP="00944B1B">
      <w:pPr>
        <w:pStyle w:val="Ttulo1"/>
        <w:spacing w:before="1"/>
        <w:ind w:left="0" w:firstLine="1560"/>
        <w:rPr>
          <w:spacing w:val="-2"/>
        </w:rPr>
      </w:pPr>
      <w:r w:rsidRPr="00944B1B">
        <w:rPr>
          <w:spacing w:val="-2"/>
        </w:rPr>
        <w:lastRenderedPageBreak/>
        <w:t>Considerações Finais</w:t>
      </w:r>
    </w:p>
    <w:p w14:paraId="54B6DEFF" w14:textId="77777777" w:rsidR="00944B1B" w:rsidRPr="00944B1B" w:rsidRDefault="00944B1B" w:rsidP="00944B1B">
      <w:pPr>
        <w:pStyle w:val="NormalWeb"/>
        <w:ind w:left="851" w:firstLine="850"/>
        <w:jc w:val="both"/>
        <w:rPr>
          <w:rFonts w:ascii="Arial" w:eastAsia="Arial" w:hAnsi="Arial" w:cs="Arial"/>
          <w:lang w:val="pt-PT" w:eastAsia="en-US"/>
        </w:rPr>
      </w:pPr>
      <w:r w:rsidRPr="00944B1B">
        <w:rPr>
          <w:rFonts w:ascii="Arial" w:eastAsia="Arial" w:hAnsi="Arial" w:cs="Arial"/>
          <w:lang w:val="pt-PT" w:eastAsia="en-US"/>
        </w:rPr>
        <w:t>O exercício de 2023 consolidou as bases de uma gestão moderna, planejada e transparente. A execução das metas do Plano Estratégico garantiu avanços na governança, na eficiência e na relação com o cidadão.</w:t>
      </w:r>
    </w:p>
    <w:p w14:paraId="5ADA85E8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2D17BB4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BE49595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6740424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52680DC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F3C1B44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3F51687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2789463F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D605880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45B2F4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870BA3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7FF05BE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5D4CB765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DAAB8CD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72EE4CB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8EA2B71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451A9C6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0B1B5D53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7D6150DF" w14:textId="77777777" w:rsidR="006E19DA" w:rsidRDefault="006E19DA" w:rsidP="006E19DA">
      <w:pPr>
        <w:pStyle w:val="Ttulo1"/>
        <w:spacing w:before="1"/>
        <w:ind w:left="0" w:firstLine="1560"/>
        <w:rPr>
          <w:spacing w:val="-2"/>
        </w:rPr>
      </w:pPr>
    </w:p>
    <w:p w14:paraId="3412C505" w14:textId="77777777" w:rsidR="006E19DA" w:rsidRDefault="006E19DA" w:rsidP="006E19DA">
      <w:pPr>
        <w:pStyle w:val="Ttulo1"/>
        <w:spacing w:before="1"/>
        <w:ind w:left="0"/>
        <w:rPr>
          <w:spacing w:val="-2"/>
        </w:rPr>
      </w:pPr>
    </w:p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12CF" w14:textId="77777777" w:rsidR="000804B6" w:rsidRDefault="000804B6">
      <w:r>
        <w:separator/>
      </w:r>
    </w:p>
  </w:endnote>
  <w:endnote w:type="continuationSeparator" w:id="0">
    <w:p w14:paraId="43289048" w14:textId="77777777" w:rsidR="000804B6" w:rsidRDefault="0008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725A" w14:textId="77777777" w:rsidR="000804B6" w:rsidRDefault="000804B6">
      <w:r>
        <w:separator/>
      </w:r>
    </w:p>
  </w:footnote>
  <w:footnote w:type="continuationSeparator" w:id="0">
    <w:p w14:paraId="3E66BE57" w14:textId="77777777" w:rsidR="000804B6" w:rsidRDefault="0008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14CB8"/>
    <w:multiLevelType w:val="multilevel"/>
    <w:tmpl w:val="D54A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8321A"/>
    <w:multiLevelType w:val="multilevel"/>
    <w:tmpl w:val="A3B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B5194"/>
    <w:multiLevelType w:val="multilevel"/>
    <w:tmpl w:val="B40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42656"/>
    <w:multiLevelType w:val="multilevel"/>
    <w:tmpl w:val="BA1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122E6"/>
    <w:multiLevelType w:val="multilevel"/>
    <w:tmpl w:val="02D8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8342F"/>
    <w:multiLevelType w:val="multilevel"/>
    <w:tmpl w:val="44C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201F9"/>
    <w:multiLevelType w:val="multilevel"/>
    <w:tmpl w:val="B8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20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8E427B"/>
    <w:multiLevelType w:val="multilevel"/>
    <w:tmpl w:val="63A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4" w15:restartNumberingAfterBreak="0">
    <w:nsid w:val="5A8C75A5"/>
    <w:multiLevelType w:val="multilevel"/>
    <w:tmpl w:val="29D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E5F04"/>
    <w:multiLevelType w:val="multilevel"/>
    <w:tmpl w:val="D19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33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32"/>
  </w:num>
  <w:num w:numId="2" w16cid:durableId="366612723">
    <w:abstractNumId w:val="19"/>
  </w:num>
  <w:num w:numId="3" w16cid:durableId="935017801">
    <w:abstractNumId w:val="0"/>
  </w:num>
  <w:num w:numId="4" w16cid:durableId="1062823830">
    <w:abstractNumId w:val="22"/>
  </w:num>
  <w:num w:numId="5" w16cid:durableId="528955357">
    <w:abstractNumId w:val="4"/>
  </w:num>
  <w:num w:numId="6" w16cid:durableId="787311080">
    <w:abstractNumId w:val="27"/>
  </w:num>
  <w:num w:numId="7" w16cid:durableId="45951291">
    <w:abstractNumId w:val="8"/>
  </w:num>
  <w:num w:numId="8" w16cid:durableId="120464565">
    <w:abstractNumId w:val="29"/>
  </w:num>
  <w:num w:numId="9" w16cid:durableId="1664317707">
    <w:abstractNumId w:val="26"/>
  </w:num>
  <w:num w:numId="10" w16cid:durableId="900292548">
    <w:abstractNumId w:val="25"/>
  </w:num>
  <w:num w:numId="11" w16cid:durableId="1057124020">
    <w:abstractNumId w:val="6"/>
  </w:num>
  <w:num w:numId="12" w16cid:durableId="1625116770">
    <w:abstractNumId w:val="15"/>
  </w:num>
  <w:num w:numId="13" w16cid:durableId="690450114">
    <w:abstractNumId w:val="33"/>
  </w:num>
  <w:num w:numId="14" w16cid:durableId="760681092">
    <w:abstractNumId w:val="17"/>
  </w:num>
  <w:num w:numId="15" w16cid:durableId="1241603529">
    <w:abstractNumId w:val="30"/>
  </w:num>
  <w:num w:numId="16" w16cid:durableId="575283546">
    <w:abstractNumId w:val="18"/>
  </w:num>
  <w:num w:numId="17" w16cid:durableId="976689469">
    <w:abstractNumId w:val="16"/>
  </w:num>
  <w:num w:numId="18" w16cid:durableId="858927709">
    <w:abstractNumId w:val="28"/>
  </w:num>
  <w:num w:numId="19" w16cid:durableId="1529562625">
    <w:abstractNumId w:val="23"/>
  </w:num>
  <w:num w:numId="20" w16cid:durableId="619730330">
    <w:abstractNumId w:val="20"/>
  </w:num>
  <w:num w:numId="21" w16cid:durableId="537008794">
    <w:abstractNumId w:val="12"/>
  </w:num>
  <w:num w:numId="22" w16cid:durableId="67729563">
    <w:abstractNumId w:val="14"/>
  </w:num>
  <w:num w:numId="23" w16cid:durableId="1169370098">
    <w:abstractNumId w:val="9"/>
  </w:num>
  <w:num w:numId="24" w16cid:durableId="610431846">
    <w:abstractNumId w:val="7"/>
  </w:num>
  <w:num w:numId="25" w16cid:durableId="692879253">
    <w:abstractNumId w:val="3"/>
  </w:num>
  <w:num w:numId="26" w16cid:durableId="251933303">
    <w:abstractNumId w:val="24"/>
  </w:num>
  <w:num w:numId="27" w16cid:durableId="1268734064">
    <w:abstractNumId w:val="10"/>
  </w:num>
  <w:num w:numId="28" w16cid:durableId="702053418">
    <w:abstractNumId w:val="31"/>
  </w:num>
  <w:num w:numId="29" w16cid:durableId="1517302987">
    <w:abstractNumId w:val="5"/>
  </w:num>
  <w:num w:numId="30" w16cid:durableId="1877037624">
    <w:abstractNumId w:val="11"/>
  </w:num>
  <w:num w:numId="31" w16cid:durableId="961229788">
    <w:abstractNumId w:val="1"/>
  </w:num>
  <w:num w:numId="32" w16cid:durableId="193736744">
    <w:abstractNumId w:val="21"/>
  </w:num>
  <w:num w:numId="33" w16cid:durableId="1141579714">
    <w:abstractNumId w:val="13"/>
  </w:num>
  <w:num w:numId="34" w16cid:durableId="119642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0804B6"/>
    <w:rsid w:val="00155C4C"/>
    <w:rsid w:val="00203177"/>
    <w:rsid w:val="00310D6D"/>
    <w:rsid w:val="00402210"/>
    <w:rsid w:val="005E2E21"/>
    <w:rsid w:val="00650F3C"/>
    <w:rsid w:val="00662A68"/>
    <w:rsid w:val="006E19DA"/>
    <w:rsid w:val="00944B1B"/>
    <w:rsid w:val="009729FA"/>
    <w:rsid w:val="00A44225"/>
    <w:rsid w:val="00AC7188"/>
    <w:rsid w:val="00B3160A"/>
    <w:rsid w:val="00BB3065"/>
    <w:rsid w:val="00C83E4F"/>
    <w:rsid w:val="00CA7794"/>
    <w:rsid w:val="00E14BA2"/>
    <w:rsid w:val="00F06889"/>
    <w:rsid w:val="00F15B15"/>
    <w:rsid w:val="00F20CBD"/>
    <w:rsid w:val="00F243BC"/>
    <w:rsid w:val="00F2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10</cp:revision>
  <dcterms:created xsi:type="dcterms:W3CDTF">2025-10-10T17:59:00Z</dcterms:created>
  <dcterms:modified xsi:type="dcterms:W3CDTF">2025-10-21T23:18:00Z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