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45881" cy="10393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881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26"/>
        <w:rPr>
          <w:rFonts w:ascii="Times New Roman"/>
        </w:rPr>
      </w:pPr>
    </w:p>
    <w:p>
      <w:pPr>
        <w:pStyle w:val="BodyText"/>
        <w:spacing w:before="1"/>
        <w:ind w:left="3441"/>
      </w:pPr>
      <w:r>
        <w:rPr>
          <w:spacing w:val="-2"/>
        </w:rPr>
        <w:t>DECLARAÇÃO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pStyle w:val="BodyText"/>
        <w:spacing w:line="259" w:lineRule="auto"/>
        <w:ind w:left="8" w:right="126" w:firstLine="708"/>
        <w:jc w:val="both"/>
      </w:pPr>
      <w:r>
        <w:rPr/>
        <w:t>Declaramos para todos os fins que estamos aguardando o Parecer/Julgamento do TCE/RN das Contas do Poder Executivo referente ao exercício 2021 para subsidiar a apreciação desta Casa Legislativa.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BodyText"/>
        <w:ind w:left="3509"/>
      </w:pPr>
      <w:r>
        <w:rPr/>
        <w:t>Carnaúba</w:t>
      </w:r>
      <w:r>
        <w:rPr>
          <w:spacing w:val="-6"/>
        </w:rPr>
        <w:t> </w:t>
      </w:r>
      <w:r>
        <w:rPr/>
        <w:t>dos</w:t>
      </w:r>
      <w:r>
        <w:rPr>
          <w:spacing w:val="-3"/>
        </w:rPr>
        <w:t> </w:t>
      </w:r>
      <w:r>
        <w:rPr/>
        <w:t>Dantas</w:t>
      </w:r>
      <w:r>
        <w:rPr>
          <w:spacing w:val="-4"/>
        </w:rPr>
        <w:t> </w:t>
      </w:r>
      <w:r>
        <w:rPr/>
        <w:t>RN, 31</w:t>
      </w:r>
      <w:r>
        <w:rPr>
          <w:spacing w:val="-5"/>
        </w:rPr>
        <w:t> </w:t>
      </w:r>
      <w:r>
        <w:rPr/>
        <w:t>de maio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2023.</w:t>
      </w:r>
    </w:p>
    <w:sectPr>
      <w:type w:val="continuous"/>
      <w:pgSz w:w="11920" w:h="16840"/>
      <w:pgMar w:top="14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- 63 - Norma de Verba de Gabinete:Indenizatória.docx</dc:title>
  <dcterms:created xsi:type="dcterms:W3CDTF">2025-09-22T13:06:36Z</dcterms:created>
  <dcterms:modified xsi:type="dcterms:W3CDTF">2025-09-22T13:06:36Z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